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31" w:rsidRPr="006D53A9" w:rsidRDefault="003D2A31" w:rsidP="00F700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0052" w:rsidRPr="00D90C71" w:rsidRDefault="00F7005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D90C71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F70052" w:rsidRPr="00D90C71" w:rsidRDefault="00F7005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0C71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70052" w:rsidRPr="00D90C71" w:rsidRDefault="00425ED3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0C71">
        <w:rPr>
          <w:rFonts w:ascii="Times New Roman" w:hAnsi="Times New Roman"/>
          <w:sz w:val="24"/>
          <w:szCs w:val="24"/>
          <w:lang w:eastAsia="ru-RU"/>
        </w:rPr>
        <w:t>Новского</w:t>
      </w:r>
      <w:r w:rsidR="004B6FBD" w:rsidRPr="00D90C7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F70052" w:rsidRPr="00D90C71" w:rsidRDefault="00F70052" w:rsidP="00F7005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90C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6D53A9" w:rsidRPr="00D90C71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9371F1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D90C71">
        <w:rPr>
          <w:rFonts w:ascii="Times New Roman" w:hAnsi="Times New Roman"/>
          <w:sz w:val="24"/>
          <w:szCs w:val="24"/>
          <w:lang w:eastAsia="ru-RU"/>
        </w:rPr>
        <w:t xml:space="preserve"> от  </w:t>
      </w:r>
      <w:r w:rsidR="00D90C71" w:rsidRPr="00D90C71">
        <w:rPr>
          <w:rFonts w:ascii="Times New Roman" w:hAnsi="Times New Roman"/>
          <w:sz w:val="24"/>
          <w:szCs w:val="24"/>
          <w:lang w:eastAsia="ru-RU"/>
        </w:rPr>
        <w:t>04</w:t>
      </w:r>
      <w:r w:rsidR="00BC125B" w:rsidRPr="00D90C71">
        <w:rPr>
          <w:rFonts w:ascii="Times New Roman" w:hAnsi="Times New Roman"/>
          <w:sz w:val="24"/>
          <w:szCs w:val="24"/>
          <w:lang w:eastAsia="ru-RU"/>
        </w:rPr>
        <w:t>.0</w:t>
      </w:r>
      <w:r w:rsidR="00D90C71" w:rsidRPr="00D90C71">
        <w:rPr>
          <w:rFonts w:ascii="Times New Roman" w:hAnsi="Times New Roman"/>
          <w:sz w:val="24"/>
          <w:szCs w:val="24"/>
          <w:lang w:eastAsia="ru-RU"/>
        </w:rPr>
        <w:t>6</w:t>
      </w:r>
      <w:r w:rsidR="005A6121" w:rsidRPr="00D90C71">
        <w:rPr>
          <w:rFonts w:ascii="Times New Roman" w:hAnsi="Times New Roman"/>
          <w:sz w:val="24"/>
          <w:szCs w:val="24"/>
          <w:lang w:eastAsia="ru-RU"/>
        </w:rPr>
        <w:t>.2021</w:t>
      </w:r>
      <w:r w:rsidR="00BC125B" w:rsidRPr="00D90C7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90C71">
        <w:rPr>
          <w:rFonts w:ascii="Times New Roman" w:hAnsi="Times New Roman"/>
          <w:sz w:val="24"/>
          <w:szCs w:val="24"/>
          <w:lang w:eastAsia="ru-RU"/>
        </w:rPr>
        <w:t xml:space="preserve">№  </w:t>
      </w:r>
      <w:r w:rsidR="00D90C71" w:rsidRPr="00D90C71">
        <w:rPr>
          <w:rFonts w:ascii="Times New Roman" w:hAnsi="Times New Roman"/>
          <w:sz w:val="24"/>
          <w:szCs w:val="24"/>
          <w:lang w:eastAsia="ru-RU"/>
        </w:rPr>
        <w:t>23</w:t>
      </w:r>
      <w:r w:rsidR="006D53A9" w:rsidRPr="00D90C71">
        <w:rPr>
          <w:rFonts w:ascii="Times New Roman" w:hAnsi="Times New Roman"/>
          <w:sz w:val="24"/>
          <w:szCs w:val="24"/>
          <w:lang w:eastAsia="ru-RU"/>
        </w:rPr>
        <w:t>-п</w:t>
      </w:r>
    </w:p>
    <w:p w:rsidR="00F70052" w:rsidRPr="006D53A9" w:rsidRDefault="00F70052" w:rsidP="00F700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0052" w:rsidRPr="006D53A9" w:rsidRDefault="00F70052" w:rsidP="00F700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3A9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6D53A9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3A9">
        <w:rPr>
          <w:rFonts w:ascii="Times New Roman" w:hAnsi="Times New Roman"/>
          <w:b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F70052" w:rsidRPr="006D53A9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70052" w:rsidRPr="006D53A9" w:rsidRDefault="00F70052" w:rsidP="00121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97018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:rsidR="0008659D" w:rsidRPr="00984CAC" w:rsidRDefault="00797018" w:rsidP="00984C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 xml:space="preserve">2. В целях настоящего Порядка </w:t>
      </w:r>
      <w:r w:rsidRPr="00AB277C">
        <w:rPr>
          <w:rFonts w:ascii="Times New Roman" w:hAnsi="Times New Roman"/>
          <w:sz w:val="28"/>
          <w:szCs w:val="28"/>
          <w:shd w:val="clear" w:color="auto" w:fill="FFFFFF"/>
        </w:rPr>
        <w:t>под транспортным средством, осуществляющим перевозку тяжеловесных грузов,</w:t>
      </w:r>
      <w:r w:rsidR="00086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659D" w:rsidRPr="00984CAC">
        <w:rPr>
          <w:rFonts w:ascii="Times New Roman" w:hAnsi="Times New Roman"/>
          <w:sz w:val="28"/>
          <w:szCs w:val="28"/>
          <w:shd w:val="clear" w:color="auto" w:fill="FFFFFF"/>
        </w:rPr>
        <w:t xml:space="preserve">понимается транспортное средство, масса которого с грузом или без груза и (или) нагрузка на ось которого превышают допустимую массу транспортного средства и (или) допустимую нагрузку на ось, которые устанавливаются Правительством Российской Федерации.  </w:t>
      </w:r>
      <w:r w:rsidRPr="00984C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C7AAB" w:rsidRPr="006D53A9" w:rsidRDefault="009C7AAB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:rsidR="009C7AAB" w:rsidRPr="006D53A9" w:rsidRDefault="009C7AAB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 xml:space="preserve">2.1. Размер вреда определяется в порядке, предусмотренном методикой расчета размера вреда, причиняемого тяжеловесными транспортными средствами, согласно приложению и </w:t>
      </w:r>
      <w:proofErr w:type="spellStart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расчитывается</w:t>
      </w:r>
      <w:proofErr w:type="spellEnd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учетом: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а)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- допустимой массы транспортного средства;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в) базового компенсационного индекса текущего года.</w:t>
      </w:r>
    </w:p>
    <w:p w:rsidR="008E4CCC" w:rsidRPr="006D53A9" w:rsidRDefault="0012194A" w:rsidP="0012194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1" w:name="dst100031"/>
      <w:bookmarkEnd w:id="1"/>
    </w:p>
    <w:p w:rsidR="008E4CCC" w:rsidRPr="006D53A9" w:rsidRDefault="008E4CCC" w:rsidP="00121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= [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+ (Рпом1 +Рпом2 … +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)]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S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8E4CCC" w:rsidRPr="006D53A9" w:rsidRDefault="008E4CCC" w:rsidP="00A028C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bookmarkStart w:id="2" w:name="dst100032"/>
      <w:bookmarkStart w:id="3" w:name="dst100033"/>
      <w:bookmarkEnd w:id="2"/>
      <w:bookmarkEnd w:id="3"/>
      <w:r w:rsidR="00A0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 - размер платы в счет возмещения вреда участку автомобильной дороги (рублей);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366"/>
      <w:bookmarkEnd w:id="4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 - размер вреда при превышении значения допустимой массы транспортного средства, определенный соответственно для автомобильных дорог местного значени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рублей на 100 километров);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367"/>
      <w:bookmarkEnd w:id="5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Рпом1, Рпом2…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Рпом</w:t>
      </w:r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</w:t>
      </w:r>
      <w:r w:rsidR="0012194A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 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(рублей на 100 километров);</w:t>
      </w:r>
    </w:p>
    <w:p w:rsidR="008E4CCC" w:rsidRPr="006D53A9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368"/>
      <w:bookmarkEnd w:id="6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i – порядковый номер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осей транспортного средства, по которым имеется превышение допустимых осевых нагрузок;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37"/>
      <w:bookmarkEnd w:id="7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8E4CCC" w:rsidRPr="006D53A9" w:rsidRDefault="0012194A" w:rsidP="006D53A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38"/>
      <w:bookmarkEnd w:id="8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- базовый компенсационный индекс текущего года, рассчитываемый по следующей формуле:</w:t>
      </w:r>
    </w:p>
    <w:p w:rsidR="008E4CCC" w:rsidRPr="006D53A9" w:rsidRDefault="0012194A" w:rsidP="001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39"/>
      <w:bookmarkEnd w:id="9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Ттг=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proofErr w:type="gram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пг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10" w:name="dst100040"/>
      <w:bookmarkEnd w:id="10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E4CCC" w:rsidRPr="006D53A9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00041"/>
      <w:bookmarkEnd w:id="11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- базовый компенсационный индекс предыдущего года (базовый компенсационный индекс 2008 года принимается равным 1, 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Т2008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= 1);</w:t>
      </w:r>
    </w:p>
    <w:p w:rsidR="0012194A" w:rsidRPr="006D53A9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dst100042"/>
      <w:bookmarkEnd w:id="12"/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8E4CCC" w:rsidRPr="006D53A9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43"/>
      <w:bookmarkEnd w:id="13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B6FBD" w:rsidRPr="006D53A9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276B65" w:rsidRPr="006D53A9">
        <w:rPr>
          <w:rFonts w:ascii="Times New Roman" w:eastAsia="Times New Roman" w:hAnsi="Times New Roman"/>
          <w:sz w:val="28"/>
          <w:szCs w:val="28"/>
          <w:lang w:eastAsia="ru-RU"/>
        </w:rPr>
        <w:t>Средства, полученные в качестве платежей в счет возмещения вреда, подлежат зачислен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ию в доход бюджета Новского</w:t>
      </w:r>
      <w:r w:rsidR="00276B65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если иное не установлено законодательством Российской Федерации.</w:t>
      </w:r>
    </w:p>
    <w:p w:rsidR="00276B65" w:rsidRPr="006D53A9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6. Решение о возврате излишне уплаченных (взысканных) платежей в счет возмещения вреда, перечисле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нных в доход бюджета Новского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принимается в 7-дневный срок со дня получения заявления плательщика.</w:t>
      </w:r>
    </w:p>
    <w:p w:rsidR="00276B65" w:rsidRPr="006D53A9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:rsidR="00276B65" w:rsidRPr="006D53A9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возврате излишне уплаченных (взысканных) платежей в счет возмещения вреда принимается при условии, что заявителем или его </w:t>
      </w:r>
      <w:r w:rsidR="003D2A31" w:rsidRPr="006D53A9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представителем не получено специальное разрешение на движение  транспортных средств по автомобильным дорогам.</w:t>
      </w:r>
    </w:p>
    <w:p w:rsidR="00F70052" w:rsidRPr="00D90C71" w:rsidRDefault="003D2A31" w:rsidP="00D90C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получено, но при осуществлении расчета платы в счет возмещения вреда допущена техническая ошибк</w:t>
      </w:r>
      <w:bookmarkStart w:id="14" w:name="dst100044"/>
      <w:bookmarkEnd w:id="14"/>
      <w:r w:rsidR="00D90C71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312AA8" w:rsidRPr="00A028C4" w:rsidRDefault="00312AA8" w:rsidP="00312AA8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90C71">
        <w:rPr>
          <w:rFonts w:ascii="Times New Roman" w:eastAsia="Times New Roman" w:hAnsi="Times New Roman"/>
          <w:bCs/>
          <w:sz w:val="24"/>
          <w:szCs w:val="24"/>
        </w:rPr>
        <w:t xml:space="preserve">Приложение № 2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</w:t>
      </w:r>
      <w:r w:rsidR="006D53A9" w:rsidRPr="00D90C71">
        <w:rPr>
          <w:rFonts w:ascii="Times New Roman" w:eastAsia="Times New Roman" w:hAnsi="Times New Roman"/>
          <w:bCs/>
          <w:sz w:val="24"/>
          <w:szCs w:val="24"/>
        </w:rPr>
        <w:t xml:space="preserve">                   Новского</w:t>
      </w:r>
      <w:r w:rsidRPr="00D90C71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                                                                                                                           от  </w:t>
      </w:r>
      <w:r w:rsidR="00D90C71">
        <w:rPr>
          <w:rFonts w:ascii="Times New Roman" w:eastAsia="Times New Roman" w:hAnsi="Times New Roman"/>
          <w:bCs/>
          <w:sz w:val="24"/>
          <w:szCs w:val="24"/>
        </w:rPr>
        <w:t>04.06</w:t>
      </w:r>
      <w:r w:rsidR="006D53A9" w:rsidRPr="00D90C71">
        <w:rPr>
          <w:rFonts w:ascii="Times New Roman" w:eastAsia="Times New Roman" w:hAnsi="Times New Roman"/>
          <w:bCs/>
          <w:sz w:val="24"/>
          <w:szCs w:val="24"/>
        </w:rPr>
        <w:t>.2021</w:t>
      </w:r>
      <w:r w:rsidRPr="00D90C71">
        <w:rPr>
          <w:rFonts w:ascii="Times New Roman" w:eastAsia="Times New Roman" w:hAnsi="Times New Roman"/>
          <w:bCs/>
          <w:sz w:val="24"/>
          <w:szCs w:val="24"/>
        </w:rPr>
        <w:t xml:space="preserve">  №</w:t>
      </w:r>
      <w:r w:rsidR="00D90C71">
        <w:rPr>
          <w:rFonts w:ascii="Times New Roman" w:eastAsia="Times New Roman" w:hAnsi="Times New Roman"/>
          <w:bCs/>
          <w:sz w:val="24"/>
          <w:szCs w:val="24"/>
        </w:rPr>
        <w:t xml:space="preserve"> 23</w:t>
      </w:r>
      <w:r w:rsidR="006D53A9" w:rsidRPr="00A028C4">
        <w:rPr>
          <w:rFonts w:ascii="Times New Roman" w:eastAsia="Times New Roman" w:hAnsi="Times New Roman"/>
          <w:bCs/>
          <w:sz w:val="28"/>
          <w:szCs w:val="28"/>
        </w:rPr>
        <w:t>-п</w:t>
      </w:r>
    </w:p>
    <w:p w:rsidR="00312AA8" w:rsidRPr="006D53A9" w:rsidRDefault="00312AA8" w:rsidP="00312AA8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2AA8" w:rsidRPr="006D53A9" w:rsidRDefault="00312AA8" w:rsidP="005A612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</w:rPr>
        <w:t>МЕТОДИКА</w:t>
      </w:r>
    </w:p>
    <w:p w:rsidR="00312AA8" w:rsidRPr="006D53A9" w:rsidRDefault="00312AA8" w:rsidP="005A612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</w:rPr>
        <w:t>РАСЧЕТА РАЗМЕРА ВРЕДА, ПРИЧИНЯЕМОГО ТЯЖЕЛОВЕСНЫМИ</w:t>
      </w:r>
    </w:p>
    <w:p w:rsidR="00312AA8" w:rsidRPr="006D53A9" w:rsidRDefault="00312AA8" w:rsidP="005A612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</w:rPr>
        <w:t>ТРАНСПОРТНЫМИ СРЕДСТВАМИ</w:t>
      </w:r>
    </w:p>
    <w:p w:rsidR="00312AA8" w:rsidRPr="006D53A9" w:rsidRDefault="00312AA8" w:rsidP="00312AA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5" w:name="dst100049"/>
      <w:bookmarkEnd w:id="15"/>
      <w:r w:rsidRPr="006D53A9">
        <w:rPr>
          <w:rFonts w:ascii="Times New Roman" w:eastAsia="Times New Roman" w:hAnsi="Times New Roman"/>
          <w:sz w:val="28"/>
          <w:szCs w:val="28"/>
        </w:rPr>
        <w:t>2. При определении размера вреда учитывается: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6" w:name="dst100050"/>
      <w:bookmarkEnd w:id="16"/>
      <w:r w:rsidRPr="006D53A9">
        <w:rPr>
          <w:rFonts w:ascii="Times New Roman" w:eastAsia="Times New Roman" w:hAnsi="Times New Roman"/>
          <w:sz w:val="28"/>
          <w:szCs w:val="28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7" w:name="dst100051"/>
      <w:bookmarkEnd w:id="17"/>
      <w:r w:rsidRPr="006D53A9">
        <w:rPr>
          <w:rFonts w:ascii="Times New Roman" w:eastAsia="Times New Roman" w:hAnsi="Times New Roman"/>
          <w:sz w:val="28"/>
          <w:szCs w:val="28"/>
        </w:rPr>
        <w:t>тип дорожной одежды;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8" w:name="dst100052"/>
      <w:bookmarkEnd w:id="18"/>
      <w:r w:rsidRPr="006D53A9">
        <w:rPr>
          <w:rFonts w:ascii="Times New Roman" w:eastAsia="Times New Roman" w:hAnsi="Times New Roman"/>
          <w:sz w:val="28"/>
          <w:szCs w:val="28"/>
        </w:rPr>
        <w:t>расположение автомобильной дороги на территории Российской Федерации;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9" w:name="dst100053"/>
      <w:bookmarkEnd w:id="19"/>
      <w:r w:rsidRPr="006D53A9">
        <w:rPr>
          <w:rFonts w:ascii="Times New Roman" w:eastAsia="Times New Roman" w:hAnsi="Times New Roman"/>
          <w:sz w:val="28"/>
          <w:szCs w:val="28"/>
        </w:rPr>
        <w:t>значение автомобильной дороги.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0" w:name="dst100054"/>
      <w:bookmarkEnd w:id="20"/>
      <w:r w:rsidRPr="006D53A9">
        <w:rPr>
          <w:rFonts w:ascii="Times New Roman" w:eastAsia="Times New Roman" w:hAnsi="Times New Roman"/>
          <w:sz w:val="28"/>
          <w:szCs w:val="28"/>
        </w:rPr>
        <w:t>3. Размер вреда при превышении значений допустимых нагрузок на одну ось (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) рассчитывается по формулам:</w:t>
      </w:r>
    </w:p>
    <w:p w:rsidR="00312AA8" w:rsidRPr="006D53A9" w:rsidRDefault="00312AA8" w:rsidP="00312AA8">
      <w:pPr>
        <w:shd w:val="clear" w:color="auto" w:fill="FFFFFF"/>
        <w:spacing w:line="290" w:lineRule="atLeast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 </w:t>
      </w:r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bookmarkStart w:id="21" w:name="dst100055"/>
      <w:bookmarkEnd w:id="21"/>
      <w:r w:rsidRPr="006D53A9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дкз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.р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сез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x (1 + 0,2 x 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ось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vertAlign w:val="superscript"/>
        </w:rPr>
        <w:t>,92</w:t>
      </w:r>
      <w:r w:rsidRPr="006D53A9">
        <w:rPr>
          <w:rFonts w:ascii="Times New Roman" w:eastAsia="Times New Roman" w:hAnsi="Times New Roman"/>
          <w:sz w:val="28"/>
          <w:szCs w:val="28"/>
        </w:rPr>
        <w:t> x (a / Н - b))</w:t>
      </w:r>
    </w:p>
    <w:p w:rsidR="00312AA8" w:rsidRPr="006D53A9" w:rsidRDefault="00312AA8" w:rsidP="00312AA8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(для дорог с одеждой капитального и облегченного типа, в том числе для зимнего периода года),</w:t>
      </w:r>
      <w:bookmarkStart w:id="22" w:name="dst100056"/>
      <w:bookmarkEnd w:id="22"/>
      <w:r w:rsidRPr="006D53A9">
        <w:rPr>
          <w:rFonts w:ascii="Times New Roman" w:eastAsia="Times New Roman" w:hAnsi="Times New Roman"/>
          <w:sz w:val="28"/>
          <w:szCs w:val="28"/>
        </w:rPr>
        <w:t xml:space="preserve"> где: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3" w:name="dst100057"/>
      <w:bookmarkEnd w:id="23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дкз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6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D90C71" w:rsidRDefault="00312AA8" w:rsidP="00D90C7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4" w:name="dst100058"/>
      <w:bookmarkEnd w:id="24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7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  <w:bookmarkStart w:id="25" w:name="dst100059"/>
      <w:bookmarkEnd w:id="25"/>
    </w:p>
    <w:p w:rsidR="00312AA8" w:rsidRPr="006D53A9" w:rsidRDefault="00312AA8" w:rsidP="00D90C7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lastRenderedPageBreak/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сез</w:t>
      </w:r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6" w:name="dst100060"/>
      <w:bookmarkEnd w:id="26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8" w:anchor="dst100115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7" w:name="dst100061"/>
      <w:bookmarkEnd w:id="27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величина превышения фактической нагрузки на ось транспортного средства над допустимой для автомобильной дороги, тс;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8" w:name="dst100062"/>
      <w:bookmarkEnd w:id="28"/>
      <w:r w:rsidRPr="006D53A9">
        <w:rPr>
          <w:rFonts w:ascii="Times New Roman" w:eastAsia="Times New Roman" w:hAnsi="Times New Roman"/>
          <w:sz w:val="28"/>
          <w:szCs w:val="28"/>
        </w:rPr>
        <w:t>Н - нормативная нагрузка на ось транспортного средства для автомобильной дороги, тс;</w:t>
      </w:r>
    </w:p>
    <w:p w:rsidR="00312AA8" w:rsidRPr="006D53A9" w:rsidRDefault="00312AA8" w:rsidP="005A612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9" w:name="dst100063"/>
      <w:bookmarkEnd w:id="29"/>
      <w:r w:rsidRPr="006D53A9">
        <w:rPr>
          <w:rFonts w:ascii="Times New Roman" w:eastAsia="Times New Roman" w:hAnsi="Times New Roman"/>
          <w:sz w:val="28"/>
          <w:szCs w:val="28"/>
        </w:rPr>
        <w:t>a, b - постоянные коэффициенты, приведенные в </w:t>
      </w:r>
      <w:hyperlink r:id="rId9" w:anchor="dst100115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bookmarkStart w:id="30" w:name="dst100064"/>
      <w:bookmarkEnd w:id="30"/>
      <w:r w:rsidRPr="006D53A9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.р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сез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x (1 + 0,14 x 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ось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vertAlign w:val="superscript"/>
        </w:rPr>
        <w:t>,24</w:t>
      </w:r>
      <w:r w:rsidRPr="006D53A9">
        <w:rPr>
          <w:rFonts w:ascii="Times New Roman" w:eastAsia="Times New Roman" w:hAnsi="Times New Roman"/>
          <w:sz w:val="28"/>
          <w:szCs w:val="28"/>
        </w:rPr>
        <w:t> x (a / Н - b))</w:t>
      </w:r>
    </w:p>
    <w:p w:rsidR="00312AA8" w:rsidRPr="006D53A9" w:rsidRDefault="00312AA8" w:rsidP="005A6121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(для дорог с одеждой переходного типа, в том числе для зимнего периода года).</w:t>
      </w:r>
    </w:p>
    <w:p w:rsidR="00312AA8" w:rsidRPr="006D53A9" w:rsidRDefault="00312AA8" w:rsidP="00D90C7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1" w:name="dst100065"/>
      <w:bookmarkEnd w:id="31"/>
      <w:r w:rsidRPr="006D53A9">
        <w:rPr>
          <w:rFonts w:ascii="Times New Roman" w:eastAsia="Times New Roman" w:hAnsi="Times New Roman"/>
          <w:sz w:val="28"/>
          <w:szCs w:val="28"/>
        </w:rPr>
        <w:t>4. Размер вреда при превышении значений допустимой массы на каждые 100 километров (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) определяется по формуле:</w:t>
      </w:r>
    </w:p>
    <w:p w:rsidR="00312AA8" w:rsidRPr="006D53A9" w:rsidRDefault="00312AA8" w:rsidP="005A612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bookmarkStart w:id="32" w:name="dst100066"/>
      <w:bookmarkEnd w:id="32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(1 +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c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="005A6121">
        <w:rPr>
          <w:rFonts w:ascii="Times New Roman" w:eastAsia="Times New Roman" w:hAnsi="Times New Roman"/>
          <w:sz w:val="28"/>
          <w:szCs w:val="28"/>
        </w:rPr>
        <w:t>)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3" w:name="dst100067"/>
      <w:bookmarkEnd w:id="33"/>
      <w:r w:rsidRPr="006D53A9">
        <w:rPr>
          <w:rFonts w:ascii="Times New Roman" w:eastAsia="Times New Roman" w:hAnsi="Times New Roman"/>
          <w:sz w:val="28"/>
          <w:szCs w:val="28"/>
        </w:rPr>
        <w:t>где: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4" w:name="dst100068"/>
      <w:bookmarkEnd w:id="34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0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5" w:name="dst100069"/>
      <w:bookmarkEnd w:id="35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1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6" w:name="dst100070"/>
      <w:bookmarkEnd w:id="36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7" w:name="dst100071"/>
      <w:bookmarkEnd w:id="37"/>
      <w:r w:rsidRPr="006D53A9">
        <w:rPr>
          <w:rFonts w:ascii="Times New Roman" w:eastAsia="Times New Roman" w:hAnsi="Times New Roman"/>
          <w:sz w:val="28"/>
          <w:szCs w:val="28"/>
        </w:rPr>
        <w:t>c - коэффициент учета превышения массы, равный 0,01675;</w:t>
      </w:r>
    </w:p>
    <w:p w:rsidR="00312AA8" w:rsidRPr="005A6121" w:rsidRDefault="00312AA8" w:rsidP="005A612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8" w:name="dst100072"/>
      <w:bookmarkEnd w:id="38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величина превышения фактической массы транспортного средства над допустимой, процентов.</w:t>
      </w:r>
      <w:bookmarkStart w:id="39" w:name="dst100073"/>
      <w:bookmarkEnd w:id="39"/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b/>
          <w:sz w:val="28"/>
          <w:szCs w:val="28"/>
        </w:rPr>
        <w:t>Примечание.</w:t>
      </w:r>
      <w:r w:rsidRPr="006D53A9">
        <w:rPr>
          <w:rFonts w:ascii="Times New Roman" w:eastAsia="Times New Roman" w:hAnsi="Times New Roman"/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0" w:name="dst100074"/>
      <w:bookmarkEnd w:id="40"/>
      <w:r w:rsidRPr="006D53A9">
        <w:rPr>
          <w:rFonts w:ascii="Times New Roman" w:eastAsia="Times New Roman" w:hAnsi="Times New Roman"/>
          <w:sz w:val="28"/>
          <w:szCs w:val="28"/>
        </w:rPr>
        <w:t>по 31 декабря 2020 г. (включительно) - 0,2;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1" w:name="dst100075"/>
      <w:bookmarkEnd w:id="41"/>
      <w:r w:rsidRPr="006D53A9">
        <w:rPr>
          <w:rFonts w:ascii="Times New Roman" w:eastAsia="Times New Roman" w:hAnsi="Times New Roman"/>
          <w:sz w:val="28"/>
          <w:szCs w:val="28"/>
        </w:rPr>
        <w:lastRenderedPageBreak/>
        <w:t>с 1 января 2021 г. по 31 декабря 2021 г. (включительно) - 0,4;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2" w:name="dst100076"/>
      <w:bookmarkEnd w:id="42"/>
      <w:r w:rsidRPr="006D53A9">
        <w:rPr>
          <w:rFonts w:ascii="Times New Roman" w:eastAsia="Times New Roman" w:hAnsi="Times New Roman"/>
          <w:sz w:val="28"/>
          <w:szCs w:val="28"/>
        </w:rPr>
        <w:t>с 1 января 2022 г. по 31 декабря 2022 г. (включительно) - 0,6;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3" w:name="dst100077"/>
      <w:bookmarkEnd w:id="43"/>
      <w:r w:rsidRPr="006D53A9">
        <w:rPr>
          <w:rFonts w:ascii="Times New Roman" w:eastAsia="Times New Roman" w:hAnsi="Times New Roman"/>
          <w:sz w:val="28"/>
          <w:szCs w:val="28"/>
        </w:rPr>
        <w:t>с 1 января 2023 г. по 31 декабря 2023 г. (включительно) - 0,8.</w:t>
      </w:r>
    </w:p>
    <w:p w:rsidR="00312AA8" w:rsidRPr="006D53A9" w:rsidRDefault="00312AA8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312AA8" w:rsidRPr="006D53A9" w:rsidRDefault="00312AA8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6D53A9">
        <w:rPr>
          <w:rFonts w:ascii="Times New Roman" w:eastAsia="Times New Roman" w:hAnsi="Times New Roman"/>
          <w:bCs/>
          <w:kern w:val="36"/>
          <w:sz w:val="28"/>
          <w:szCs w:val="28"/>
        </w:rPr>
        <w:t>Таблица 1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5"/>
        <w:gridCol w:w="1027"/>
        <w:gridCol w:w="1677"/>
        <w:gridCol w:w="1321"/>
      </w:tblGrid>
      <w:tr w:rsidR="001D79BB" w:rsidRPr="006D53A9" w:rsidTr="00312AA8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4" w:name="dst100079"/>
            <w:bookmarkEnd w:id="4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5" w:name="dst100080"/>
            <w:bookmarkEnd w:id="45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дкз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6" w:name="dst100081"/>
            <w:bookmarkEnd w:id="46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кап.рем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7" w:name="dst100082"/>
            <w:bookmarkEnd w:id="47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пм</w:t>
            </w:r>
            <w:proofErr w:type="spellEnd"/>
          </w:p>
        </w:tc>
      </w:tr>
      <w:tr w:rsidR="001D79BB" w:rsidRPr="006D53A9" w:rsidTr="00312AA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48" w:name="dst100083"/>
            <w:bookmarkEnd w:id="48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49" w:name="dst100084"/>
            <w:bookmarkEnd w:id="49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50" w:name="dst100085"/>
            <w:bookmarkEnd w:id="50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51" w:name="dst100086"/>
            <w:bookmarkEnd w:id="51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2" w:name="dst100087"/>
            <w:bookmarkEnd w:id="5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3" w:name="dst100088"/>
            <w:bookmarkEnd w:id="5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4" w:name="dst100089"/>
            <w:bookmarkEnd w:id="5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5" w:name="dst100090"/>
            <w:bookmarkEnd w:id="5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0,838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6" w:name="dst100091"/>
            <w:bookmarkEnd w:id="5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Южный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7" w:name="dst100092"/>
            <w:bookmarkEnd w:id="5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8" w:name="dst100093"/>
            <w:bookmarkEnd w:id="5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9" w:name="dst100094"/>
            <w:bookmarkEnd w:id="5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1,255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0" w:name="dst100095"/>
            <w:bookmarkEnd w:id="6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Приволжский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1" w:name="dst100096"/>
            <w:bookmarkEnd w:id="61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2" w:name="dst100097"/>
            <w:bookmarkEnd w:id="6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3" w:name="dst100098"/>
            <w:bookmarkEnd w:id="6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0,498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4" w:name="dst100099"/>
            <w:bookmarkEnd w:id="6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Уральский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5" w:name="dst100100"/>
            <w:bookmarkEnd w:id="6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2,10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6" w:name="dst100101"/>
            <w:bookmarkEnd w:id="6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7" w:name="dst100102"/>
            <w:bookmarkEnd w:id="6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0,426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8" w:name="dst100103"/>
            <w:bookmarkEnd w:id="6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Сибирский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9" w:name="dst100104"/>
            <w:bookmarkEnd w:id="6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2,06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0" w:name="dst100105"/>
            <w:bookmarkEnd w:id="7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1" w:name="dst100106"/>
            <w:bookmarkEnd w:id="71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0,403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2" w:name="dst100107"/>
            <w:bookmarkEnd w:id="7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3" w:name="dst100108"/>
            <w:bookmarkEnd w:id="7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4" w:name="dst100109"/>
            <w:bookmarkEnd w:id="7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5" w:name="dst100110"/>
            <w:bookmarkEnd w:id="7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0,508</w:t>
            </w:r>
          </w:p>
        </w:tc>
      </w:tr>
      <w:tr w:rsidR="001D79BB" w:rsidRPr="006D53A9" w:rsidTr="00312AA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6" w:name="dst100111"/>
            <w:bookmarkEnd w:id="7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7" w:name="dst100112"/>
            <w:bookmarkEnd w:id="7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8" w:name="dst100113"/>
            <w:bookmarkEnd w:id="7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9" w:name="dst100114"/>
            <w:bookmarkEnd w:id="7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0,595</w:t>
            </w:r>
          </w:p>
        </w:tc>
      </w:tr>
    </w:tbl>
    <w:p w:rsidR="00312AA8" w:rsidRPr="006D53A9" w:rsidRDefault="00312AA8" w:rsidP="003E05DF">
      <w:pPr>
        <w:shd w:val="clear" w:color="auto" w:fill="FFFFFF"/>
        <w:spacing w:after="0" w:line="290" w:lineRule="atLeast"/>
        <w:rPr>
          <w:rFonts w:ascii="Times New Roman" w:eastAsia="Times New Roman" w:hAnsi="Times New Roman"/>
          <w:sz w:val="28"/>
          <w:szCs w:val="28"/>
        </w:rPr>
      </w:pPr>
    </w:p>
    <w:p w:rsidR="003E05DF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3E05DF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3E05DF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312AA8" w:rsidRDefault="00312AA8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6D53A9">
        <w:rPr>
          <w:rFonts w:ascii="Times New Roman" w:eastAsia="Times New Roman" w:hAnsi="Times New Roman"/>
          <w:bCs/>
          <w:kern w:val="36"/>
          <w:sz w:val="28"/>
          <w:szCs w:val="28"/>
        </w:rPr>
        <w:t>Таблица 2</w:t>
      </w:r>
    </w:p>
    <w:p w:rsidR="003E05DF" w:rsidRPr="00A028C4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3"/>
        <w:gridCol w:w="1175"/>
        <w:gridCol w:w="1231"/>
        <w:gridCol w:w="1231"/>
      </w:tblGrid>
      <w:tr w:rsidR="001D79BB" w:rsidRPr="006D53A9" w:rsidTr="00312AA8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0" w:name="dst100116"/>
            <w:bookmarkEnd w:id="8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1" w:name="dst100117"/>
            <w:bookmarkEnd w:id="81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исх.ось</w:t>
            </w:r>
            <w:proofErr w:type="spellEnd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2" w:name="dst100118"/>
            <w:bookmarkEnd w:id="8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Постоянные коэффициенты</w:t>
            </w:r>
          </w:p>
        </w:tc>
      </w:tr>
      <w:tr w:rsidR="001D79BB" w:rsidRPr="006D53A9" w:rsidTr="00312AA8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AA8" w:rsidRPr="006D53A9" w:rsidRDefault="00312AA8" w:rsidP="003E05D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AA8" w:rsidRPr="006D53A9" w:rsidRDefault="00312AA8" w:rsidP="003E05D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3" w:name="dst100119"/>
            <w:bookmarkEnd w:id="8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4" w:name="dst100120"/>
            <w:bookmarkEnd w:id="8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</w:tr>
      <w:tr w:rsidR="001D79BB" w:rsidRPr="006D53A9" w:rsidTr="00312AA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5" w:name="dst100121"/>
            <w:bookmarkEnd w:id="8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6" w:name="dst100122"/>
            <w:bookmarkEnd w:id="8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7" w:name="dst100123"/>
            <w:bookmarkEnd w:id="8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8" w:name="dst100124"/>
            <w:bookmarkEnd w:id="8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9" w:name="dst100125"/>
            <w:bookmarkEnd w:id="8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0" w:name="dst100126"/>
            <w:bookmarkEnd w:id="9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1840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1" w:name="dst100127"/>
            <w:bookmarkEnd w:id="91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2" w:name="dst100128"/>
            <w:bookmarkEnd w:id="9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</w:tr>
      <w:tr w:rsidR="001D79BB" w:rsidRPr="006D53A9" w:rsidTr="00312AA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3" w:name="dst100129"/>
            <w:bookmarkEnd w:id="9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4" w:name="dst100130"/>
            <w:bookmarkEnd w:id="9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5" w:name="dst100131"/>
            <w:bookmarkEnd w:id="9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6" w:name="dst100132"/>
            <w:bookmarkEnd w:id="9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2,7</w:t>
            </w:r>
          </w:p>
        </w:tc>
      </w:tr>
    </w:tbl>
    <w:p w:rsidR="00312AA8" w:rsidRPr="006D53A9" w:rsidRDefault="00312AA8" w:rsidP="003E05DF">
      <w:pPr>
        <w:shd w:val="clear" w:color="auto" w:fill="FFFFFF"/>
        <w:spacing w:after="0" w:line="29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</w:rPr>
        <w:t> 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97" w:name="dst100133"/>
      <w:bookmarkEnd w:id="97"/>
      <w:r w:rsidRPr="006D53A9">
        <w:rPr>
          <w:rFonts w:ascii="Times New Roman" w:eastAsia="Times New Roman" w:hAnsi="Times New Roman"/>
          <w:b/>
          <w:sz w:val="28"/>
          <w:szCs w:val="28"/>
        </w:rPr>
        <w:t>Примечание.</w:t>
      </w:r>
      <w:r w:rsidRPr="006D53A9">
        <w:rPr>
          <w:rFonts w:ascii="Times New Roman" w:eastAsia="Times New Roman" w:hAnsi="Times New Roman"/>
          <w:sz w:val="28"/>
          <w:szCs w:val="28"/>
        </w:rPr>
        <w:t xml:space="preserve"> Приведенные в </w:t>
      </w:r>
      <w:hyperlink r:id="rId12" w:anchor="dst100115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таблице 2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</w:t>
      </w:r>
      <w:r w:rsidR="001D79BB" w:rsidRPr="006D53A9">
        <w:rPr>
          <w:rFonts w:ascii="Times New Roman" w:eastAsia="Times New Roman" w:hAnsi="Times New Roman"/>
          <w:sz w:val="28"/>
          <w:szCs w:val="28"/>
        </w:rPr>
        <w:t>о</w:t>
      </w:r>
    </w:p>
    <w:p w:rsidR="00312AA8" w:rsidRPr="006D53A9" w:rsidRDefault="00312AA8" w:rsidP="003E05DF">
      <w:pPr>
        <w:spacing w:after="0"/>
        <w:rPr>
          <w:rFonts w:ascii="Times New Roman" w:hAnsi="Times New Roman"/>
          <w:sz w:val="28"/>
          <w:szCs w:val="28"/>
        </w:rPr>
      </w:pPr>
    </w:p>
    <w:p w:rsidR="00312AA8" w:rsidRPr="006D53A9" w:rsidRDefault="00312AA8" w:rsidP="003E05DF">
      <w:pPr>
        <w:spacing w:after="0"/>
        <w:rPr>
          <w:rFonts w:ascii="Times New Roman" w:hAnsi="Times New Roman"/>
          <w:sz w:val="28"/>
          <w:szCs w:val="28"/>
        </w:rPr>
      </w:pPr>
    </w:p>
    <w:p w:rsidR="00F70052" w:rsidRPr="006D53A9" w:rsidRDefault="00F70052" w:rsidP="003E05D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052" w:rsidRPr="006D53A9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:rsidR="00F70052" w:rsidRPr="006D53A9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70052" w:rsidRPr="006D53A9" w:rsidSect="004A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4629"/>
    <w:multiLevelType w:val="hybridMultilevel"/>
    <w:tmpl w:val="1D0CA886"/>
    <w:lvl w:ilvl="0" w:tplc="1DDE2162">
      <w:start w:val="1"/>
      <w:numFmt w:val="decimal"/>
      <w:lvlText w:val="%1."/>
      <w:lvlJc w:val="left"/>
      <w:pPr>
        <w:ind w:left="1286" w:hanging="360"/>
      </w:pPr>
      <w:rPr>
        <w:rFonts w:ascii="Times New Roman" w:eastAsia="SimSun" w:hAnsi="Times New Roman" w:cs="Mang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0A"/>
    <w:rsid w:val="0008659D"/>
    <w:rsid w:val="0012194A"/>
    <w:rsid w:val="001D79BB"/>
    <w:rsid w:val="00276B65"/>
    <w:rsid w:val="002C3DE1"/>
    <w:rsid w:val="00312AA8"/>
    <w:rsid w:val="003347CF"/>
    <w:rsid w:val="003D2A31"/>
    <w:rsid w:val="003E05DF"/>
    <w:rsid w:val="003F7D22"/>
    <w:rsid w:val="00425ED3"/>
    <w:rsid w:val="00485F3C"/>
    <w:rsid w:val="004A27C4"/>
    <w:rsid w:val="004B6FBD"/>
    <w:rsid w:val="00593E88"/>
    <w:rsid w:val="005A6121"/>
    <w:rsid w:val="006D53A9"/>
    <w:rsid w:val="007552C3"/>
    <w:rsid w:val="00797018"/>
    <w:rsid w:val="007E32A0"/>
    <w:rsid w:val="008E4CCC"/>
    <w:rsid w:val="009371F1"/>
    <w:rsid w:val="00944F4D"/>
    <w:rsid w:val="00984CAC"/>
    <w:rsid w:val="009C7AAB"/>
    <w:rsid w:val="00A028C4"/>
    <w:rsid w:val="00AB277C"/>
    <w:rsid w:val="00B81C4D"/>
    <w:rsid w:val="00BC125B"/>
    <w:rsid w:val="00C55C0A"/>
    <w:rsid w:val="00D90C71"/>
    <w:rsid w:val="00DD4871"/>
    <w:rsid w:val="00E33A68"/>
    <w:rsid w:val="00EA147D"/>
    <w:rsid w:val="00F7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2"/>
    <w:pPr>
      <w:spacing w:after="160" w:line="259" w:lineRule="auto"/>
      <w:ind w:firstLine="0"/>
      <w:jc w:val="left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52"/>
    <w:pPr>
      <w:ind w:firstLine="0"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7552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312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436/05b63a3da6348b4ba66ccacc0eaff003afe223a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4436/7b323b7c0c456333e9930b3cb1206f8751991665/" TargetMode="External"/><Relationship Id="rId12" Type="http://schemas.openxmlformats.org/officeDocument/2006/relationships/hyperlink" Target="http://www.consultant.ru/document/cons_doc_LAW_344436/05b63a3da6348b4ba66ccacc0eaff003afe223a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4436/7b323b7c0c456333e9930b3cb1206f8751991665/" TargetMode="External"/><Relationship Id="rId11" Type="http://schemas.openxmlformats.org/officeDocument/2006/relationships/hyperlink" Target="http://www.consultant.ru/document/cons_doc_LAW_344436/7b323b7c0c456333e9930b3cb1206f875199166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4436/7b323b7c0c456333e9930b3cb1206f87519916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4436/05b63a3da6348b4ba66ccacc0eaff003afe223a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76AF-63A7-44D5-B6FD-7DB511C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2020-04-23T09:13:00Z</cp:lastPrinted>
  <dcterms:created xsi:type="dcterms:W3CDTF">2021-06-15T14:03:00Z</dcterms:created>
  <dcterms:modified xsi:type="dcterms:W3CDTF">2021-06-15T14:03:00Z</dcterms:modified>
</cp:coreProperties>
</file>