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57" w:type="dxa"/>
        <w:tblInd w:w="108" w:type="dxa"/>
        <w:tblLook w:val="04A0" w:firstRow="1" w:lastRow="0" w:firstColumn="1" w:lastColumn="0" w:noHBand="0" w:noVBand="1"/>
      </w:tblPr>
      <w:tblGrid>
        <w:gridCol w:w="12157"/>
      </w:tblGrid>
      <w:tr w:rsidR="002B4F43" w:rsidRPr="002B4F43" w:rsidTr="002327AB">
        <w:trPr>
          <w:trHeight w:val="255"/>
        </w:trPr>
        <w:tc>
          <w:tcPr>
            <w:tcW w:w="12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tbl>
            <w:tblPr>
              <w:tblW w:w="11517" w:type="dxa"/>
              <w:tblLook w:val="04A0" w:firstRow="1" w:lastRow="0" w:firstColumn="1" w:lastColumn="0" w:noHBand="0" w:noVBand="1"/>
            </w:tblPr>
            <w:tblGrid>
              <w:gridCol w:w="3577"/>
              <w:gridCol w:w="1045"/>
              <w:gridCol w:w="799"/>
              <w:gridCol w:w="933"/>
              <w:gridCol w:w="1329"/>
              <w:gridCol w:w="817"/>
              <w:gridCol w:w="850"/>
              <w:gridCol w:w="1398"/>
              <w:gridCol w:w="178"/>
              <w:gridCol w:w="1015"/>
            </w:tblGrid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Приложение №2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60"/>
              </w:trPr>
              <w:tc>
                <w:tcPr>
                  <w:tcW w:w="1032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8"/>
                      <w:szCs w:val="28"/>
                    </w:rPr>
                    <w:t>РОСПИСЬ РАСХОДОВ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1032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  <w:u w:val="single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  <w:u w:val="single"/>
                    </w:rPr>
                    <w:t xml:space="preserve">Администрация  Новского сельского поселения 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1032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(наименование главного распорядителя средств) 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60"/>
              </w:trPr>
              <w:tc>
                <w:tcPr>
                  <w:tcW w:w="1032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8"/>
                      <w:szCs w:val="28"/>
                    </w:rPr>
                    <w:t>НА 2016 ГОД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30DA" w:rsidRPr="005530DA" w:rsidTr="005530DA">
              <w:trPr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(рублей)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60"/>
              </w:trPr>
              <w:tc>
                <w:tcPr>
                  <w:tcW w:w="3153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77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Сумма на год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60"/>
              </w:trPr>
              <w:tc>
                <w:tcPr>
                  <w:tcW w:w="3153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главного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распоря-дителя</w:t>
                  </w:r>
                  <w:proofErr w:type="spellEnd"/>
                  <w:proofErr w:type="gram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 средств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раз-дела</w:t>
                  </w:r>
                  <w:proofErr w:type="gramEnd"/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подраз</w:t>
                  </w:r>
                  <w:proofErr w:type="spellEnd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-дела</w:t>
                  </w:r>
                  <w:proofErr w:type="gramEnd"/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целевой статьи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 xml:space="preserve">вида </w:t>
                  </w:r>
                  <w:proofErr w:type="spellStart"/>
                  <w:proofErr w:type="gramStart"/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расхо-дов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Код вида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текущий финансовый год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55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Распорядитель: Администрация Новского сельского поселения Приволжского муниципального района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4 627 736,41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Администрация 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4 627 736,41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3 124 753,51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597 618,00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Обеспечение функционирования Главы местной администрации (исполнительно-распорядительного органа местного образования)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597 618,00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459 000,00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459 000,00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138 618,00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138 618,00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1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2 130 435,51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Межбюджетные трансферты на выполнение переданных полномочий финансовому управлению администрации Приволжского муниципального района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1110101700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250 595,51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Обеспечение функций органов местного самоуправления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1 879 840,00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1 124 040,00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1 124 040,00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311 600,00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311 600,00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440 700,00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Услуги связи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67 800,00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Транспортные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Коммунальные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К223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124 500,00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12 400,00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103 000,00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Увеличение стоимости материальных запасов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К340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3 500,00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3 500,00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Судебная система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4290051200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4290051200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4290051200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Резервные фонды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Резервный фонд администрации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Резервные средства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1110201900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356 100,00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Выполнение кадастровых работ по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межеванию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,ф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ормированию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земельных участков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1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Проведение независимой оценки размера арендной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платы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,р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ыночной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стоимости муниципального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имущества,а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также земельных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участков,находящихся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в государственной собственности до разграничения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1120102100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Техническое обслуживание объектов муниципальной собственности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1120102200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44 000,00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Содержание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имущества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,н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аходящегося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в казне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Новского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1120119000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Проведение мероприятий на территории Новского сельского поселения в рамках празднования Всероссийского дня предпринимательства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1210145000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1210145000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1210145000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Публикация нормативных правовых актов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4090010400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4090010400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4090010400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38 000,00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Оплата годовых членских взносов в Союз малых городов России и В Совет муниципальных образований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Специальные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3 100,00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Расходы на обслуживание сайта муниципального образования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ОБОРОНА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Осуществление первичного воинского учета на территориях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где отсутствуют военные комиссариаты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Субвенции бюджетам субъектов РФ и муниципальных образований на осуществление первичного воинского учета на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территориях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,г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де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отсутствуют военные комиссариаты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4190051180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60 600,00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Обеспечение пожарной безопасности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Пожарная безопасность и защита населения на территории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1130102300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1130102300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1130102300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241 381,41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241 381,41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Зимнее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196 381,41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196 381,41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1140102500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196 381,41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Летнее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1140102600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1 071 001,49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Жилищное хозяйство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Капитальный ремонт государственного жилищного фонда субъектов РФ и муниципального жилищного фонда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1140302800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1140302800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1140302800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2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Оплата взносов на капитальный ремонт за муниципальный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жилищныйфонд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(в фонд регионального оператора)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1140302900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Возмещение недополученных доходов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организациям.предоставляющим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населению жилищные услуги по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тарифам.не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обеспечивающим возмещение издержек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Субсидии юридическим лицам (кроме некоммерческих организаций), индивидуальным предпринимателям, физическим лицам -производителям товаров, работ, услуг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1140403000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Благоустройство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869 001,49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Поставка электрической энергии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Коммунальные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К223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Техническое обслуживание электрических линий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139 000,00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139 000,00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1140633000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139 000,00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Ликвидация несанкционированных свалок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1140734000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1140734000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1140734000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Организация озеленения территории общего пользования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1140835000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1140835000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1140835000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Содержание территории общего пользования сельского кладбища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1140936000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1140936000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1140936000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Прочие мероприятия в области благоустройства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1141037000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359 001,49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1141037000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359 001,49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1141037000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359 001,49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СОЦИАЛЬНАЯ ПОЛИТИКА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Пенсионное обеспечение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Доплата к пенсиям муниципальным служащим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Пенсии, выплачиваемые организациями сектора государственного управления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4090010300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Распорядитель: муниципальное казённое учреждение клубно-библиотечное объединение  Новского сельского поселения Приволжского муниципального района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Администрация  Новского сельского поселения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Культура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1 717 242,00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Расходы на обеспечение деятельности (оказание услуг) муниципальных учреждений культуры, связанных с организацией досуга для населения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1 181 891,00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572 760,00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572 760,00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172 974,00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172 974,00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426 157,00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Услуги связи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К221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Транспортные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К222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Коммунальные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К223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309 773,00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по содержанию имущества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К225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работы.услуги</w:t>
                  </w:r>
                  <w:proofErr w:type="spellEnd"/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40 500,00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11 884,00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Увеличение стоимости материальных запасов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К340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1150138000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1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83 897,00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64 437,00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64 437,00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19 460,00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1150141000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19 460,00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1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248 754,00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191 055,00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191 055,00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57 699,00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1150180340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57 699,00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Расходы на обеспечение деятельности (оказание услуг) муниципальных учреждений культуры, связанных с библиотечным обслуживанием населения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149 800,00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6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87 404,00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87 404,00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26 396,00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26 396,00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36 000,00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Коммунальные услуги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К223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15 000,00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1150242000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К226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21 000,00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Комплектование книжных фондов библиотек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муницпальных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образований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8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1150251440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15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Организация и проведение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мероприятий</w:t>
                  </w:r>
                  <w:proofErr w:type="gram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,с</w:t>
                  </w:r>
                  <w:proofErr w:type="gram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вязанных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 государственными </w:t>
                  </w:r>
                  <w:proofErr w:type="spellStart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праздниками,юбилейными</w:t>
                  </w:r>
                  <w:proofErr w:type="spellEnd"/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и памятными датами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1150344000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9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1150344000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300"/>
              </w:trPr>
              <w:tc>
                <w:tcPr>
                  <w:tcW w:w="31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30DA" w:rsidRPr="005530DA" w:rsidRDefault="005530DA" w:rsidP="005530DA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Прочие расходы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1150344000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К290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52 000,00</w:t>
                  </w:r>
                </w:p>
              </w:tc>
            </w:tr>
            <w:tr w:rsidR="005530DA" w:rsidRPr="005530DA" w:rsidTr="005530DA">
              <w:trPr>
                <w:gridAfter w:val="2"/>
                <w:wAfter w:w="1193" w:type="dxa"/>
                <w:trHeight w:val="255"/>
              </w:trPr>
              <w:tc>
                <w:tcPr>
                  <w:tcW w:w="8926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5530DA" w:rsidRPr="005530DA" w:rsidRDefault="005530DA" w:rsidP="005530DA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Итого расходов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530DA" w:rsidRPr="005530DA" w:rsidRDefault="005530DA" w:rsidP="005530DA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30DA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6 344 978,41</w:t>
                  </w:r>
                </w:p>
              </w:tc>
            </w:tr>
          </w:tbl>
          <w:p w:rsidR="002B4F43" w:rsidRPr="002B4F43" w:rsidRDefault="002B4F43" w:rsidP="002B4F43">
            <w:pPr>
              <w:rPr>
                <w:color w:val="000000"/>
                <w:sz w:val="28"/>
                <w:szCs w:val="28"/>
              </w:rPr>
            </w:pPr>
          </w:p>
        </w:tc>
      </w:tr>
      <w:tr w:rsidR="00D871D3" w:rsidRPr="00D871D3" w:rsidTr="002327AB">
        <w:trPr>
          <w:trHeight w:val="255"/>
        </w:trPr>
        <w:tc>
          <w:tcPr>
            <w:tcW w:w="1215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D871D3" w:rsidRDefault="00D871D3" w:rsidP="00D871D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D871D3" w:rsidRDefault="00D871D3" w:rsidP="00D871D3">
      <w:pPr>
        <w:tabs>
          <w:tab w:val="left" w:pos="4253"/>
        </w:tabs>
        <w:ind w:left="-851" w:right="424" w:firstLine="851"/>
        <w:rPr>
          <w:sz w:val="28"/>
        </w:rPr>
      </w:pPr>
    </w:p>
    <w:sectPr w:rsidR="00D871D3" w:rsidSect="005530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0F5FF1"/>
    <w:rsid w:val="001E6CC3"/>
    <w:rsid w:val="00210A3D"/>
    <w:rsid w:val="002327AB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39E4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530DA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C7F4A"/>
    <w:rsid w:val="00BF0FC0"/>
    <w:rsid w:val="00C07BBC"/>
    <w:rsid w:val="00C731D5"/>
    <w:rsid w:val="00C90F16"/>
    <w:rsid w:val="00C94D49"/>
    <w:rsid w:val="00CC0000"/>
    <w:rsid w:val="00CD632C"/>
    <w:rsid w:val="00D33E1E"/>
    <w:rsid w:val="00D73762"/>
    <w:rsid w:val="00D737FD"/>
    <w:rsid w:val="00D81319"/>
    <w:rsid w:val="00D871D3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rsid w:val="005530DA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5530DA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5530DA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8"/>
      <w:szCs w:val="28"/>
    </w:rPr>
  </w:style>
  <w:style w:type="paragraph" w:customStyle="1" w:styleId="xl103">
    <w:name w:val="xl103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5530D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05">
    <w:name w:val="xl105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9">
    <w:name w:val="xl109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3">
    <w:name w:val="xl113"/>
    <w:basedOn w:val="a"/>
    <w:rsid w:val="005530DA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5530DA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5530DA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6">
    <w:name w:val="xl116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rsid w:val="005530DA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5530DA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5530DA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8"/>
      <w:szCs w:val="28"/>
    </w:rPr>
  </w:style>
  <w:style w:type="paragraph" w:customStyle="1" w:styleId="xl103">
    <w:name w:val="xl103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5530D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05">
    <w:name w:val="xl105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9">
    <w:name w:val="xl109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3">
    <w:name w:val="xl113"/>
    <w:basedOn w:val="a"/>
    <w:rsid w:val="005530DA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5530DA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5530DA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6">
    <w:name w:val="xl116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2016-02-01T12:15:00Z</cp:lastPrinted>
  <dcterms:created xsi:type="dcterms:W3CDTF">2016-02-12T07:49:00Z</dcterms:created>
  <dcterms:modified xsi:type="dcterms:W3CDTF">2016-02-12T07:49:00Z</dcterms:modified>
</cp:coreProperties>
</file>